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задолженности в размере 53 191 609 рублей. Определением Арбитражного суда Свердловской области от 14.08.2019, оставленным без изменения постановлениями Семнадцатого арбитражного апелляционного суда от 24.10.2019 и Арбитражного суда Уральского округа от 27.01.2020,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в части отказа во включении в реестр задолженности в размере 13 449 309 рублей 22 копеек и направить спор в указанной части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16, 19,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обществом не представлено доказательств, опровергающих разумные сомнения в реальности правоотношений сторон, вытекающих из договоров поставки, возмездного оказания услуг и купли-продажи, и, как следствие, пришли к выводам об отсутствии оснований для включения требования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«Аверс»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