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04.07.2019, оставленным без изменения постановлением Девятого арбитражного апелляционного суда от 16.10.2019 и постановлением Арбитражного суда Московского округа от 10.02.2020, в удовлетворении иска отказано в связи с истечением срока исковой давности, о применении которой заявил ответчик. В кассационной жалобе общество «Велес» просит об отмене судебных актов, ссылаясь на неправильное определение момента начала течения срока исковой давности и неосновательное применение специального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последний платеж в рамках договора транспортно- экспедиционных услуг истец произвел 23.12.2015 и не получил от ответчика встречного предоставления. Учитывая характер спорных правоотношений, суды применили к ним специальный срок исковой давности и признали его пропущенным к моменту предъявления 18.09.2018 рассматриваемого иска в соответствии со статьями 195 , 197 , 199 , 200 Гражданского кодекса Российской Федерации, указав при этом и мотивы, в связи с которыми требование не подлежит удовлетворению по существу.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«Велес»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"ВЕЛЕС" (подробнее) Ответчики: ООО "ТТ-ЛОГОС" (подробнее) Судьи дела: Ксенофонтова Н.А.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