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19.06.2019, оставленным без изменения постановлением Семнадцатого арбитражного апелляционного суда от 30.09.2019 и постановлением Арбитражного суда Уральского округа от 30.01.2020, в удовлетворении заявленного требования отказано. В кассационных жалобах, поданных в Верховный Суд Российской Федерации, ООО «Русская нива» и ООО «Комос Групп», ссылаясь на существенное нарушение судами норм права, просят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доначисления по результатам выездной налоговой проверки 2 704 484 рублей налога на добавленную стоимость, начисления соответствующих сумм пеней и штрафа послужил вывод налогового органа об отсутствии у общества права на применение налоговых вычетов в связи с истечением трехлетнего срока и непредставлением документов, указывающих на начисление и уплату налога с авансов, полученных от ООО «Комос Групп» (заготовитель) по договору контрактации. Оценив представленные в материалы дела доказательства, суды установили взаимозависимость участников сделки для целей налогообложения, а также невозможность проверки действительных обязательств между сторонами, факта предварительной оплаты в счет предстоящих поставок товаров, исчисления и уплаты НДС с авансов в бюджет, в связи с чем указали, что отгрузка зерна не связана с исполнением договора контрактации и не подтверждает учет авансовых платежей в счет отгрузки зерна спустя девять лет с момента прекращения договора. При этом предельный срок для применения налогового вычета с авансовых платежей истек 18.12.2010. Суды, учитывая установленные обстоятельства, руководствуясь положениями статей 154 , 162.1 , 171 , 172 , 173 Налогового кодекса Российской Федерации, разъяснениями, изложенными в пункте 27 постановления Пленума Высшего Арбитражного Суда Российской Федерации от 30.05.2014 № 33 «О некоторых вопросах, возникающих у арбитражных судов при рассмотрении дел, связанных с взиманием налога на добавленную стоимость», пришли к выводу о недоказанности обществом права на применение налоговых вычетов. Доводы, изложенные в кассационных жалобах, являлись предметом рассмотрения судов и с учетом установленных обстоятельств дела не подтверждают существенных нарушений норм материального и процессуального права, повлиявших на исход дела. По существу доводы жалоб направлены на переоценку представленных в материалы дела доказательств и установление иных фактических обстоятельств, что в силу статьи 291.6 Арбитражного процессуального кодекса Российской Федерации не может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«Русская нива» и обществу с ограниченной ответственностью «Комос Групп»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"Русская нива" (подробнее) Ответчики: Межрайонная инспекция Федеральной налоговой службы №5 по Удмуртской Республике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