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04.07.2019, оставленным без изменения постановлением Седьмого арбитражного апелляционного суда от 04.10.2019 и постановлением Арбитражного суда Западно-Сибирского округа от 11.02.2020, заявленное требование удовлетворено частично, решение инспекции признано недействительным в части эпизода завышения убытков за 2015 год на сумму 4 189 рублей (пункт 2.3); доначисления 64 465 рублей налога на добавленную стоимость, соответствующих пеней и штрафа (пункт 2.1.3 решения); штрафа по статье 123 Налогового кодекса Российской Федерации (далее – Налоговый кодекс) в размере 1 883 267 рублей 52 копеек (пункт 2.2 решения). В удовлетворении требования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по эпизоду завышения убытков за 2014 год в сумме 15 817 177 рублей¸ за 2015 год в сумме 40 278 911 рублей, за 2016 год в сумме 32 205 112 рублей и дело в указанной части направить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обжалуемой части послужил вывод инспекции о завышении обществом убытков при исчислении налога на прибыль в связи с неправомерным отнесением в состав косвенных расходов затрат на перевозку привлеченными организациями добытого угля с перегрузочного пункта до технологического комплекса погрузки, а также на автошины, запасные части для ремонта техники и оборудования по подразделениям Автоколонна № 1, ТБУ, БВР, Участок ОГР (Горный участок) № 1, Обогатительная фабрика. Рассматривая спор в указанной части, суды, оценив представленные в материалы дела доказательства, руководствуясь положениями статей 252 , 254 , 318 , 319 Налогового кодекса, Инструкцией по планированию, учету и калькулированию себестоимости добычи и обогащения угля (сланца), утвержденной приказом Минтопэнерго России от 25.12.1996, принимая во внимание правовую позицию Конституционного Суда Российской Федерации, изложенную в определении от 25.04.2019 № 876-О, учитывая отраслевые особенности деятельности налогоплательщика, пришли к выводу о законности решения инспекции ввиду доказанности необходимости отнесения спорных затрат общества к прямым расходам. Судебные инстанции отметили, что работы по основному виду деятельности общества, направленные на добычу, переработку и реализацию угля, подлежат учету в составе прямых расходов, поскольку выполнены в рамках технологического процесса производства. При этом расходы заявителя на запасные части и ремонтные работы, связанные с поддержанием основных средств в работоспособном состоянии, отнесены к основному производству, входят в состав материальных затрат и используются при формировании себестоимости продукции, в связи с чем также подлежат учету в составе прямых расходов. Довод заявителя относительно ненадлежащей оценки судами доказательств и доводов рассмотрен судом округа и обоснованно отклонен. Иные доводы, изложенные в кассационной жалобе, повторяют позицию общества по спору, были предметом рассмотрения судов,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Приведенные доводы, по существу, направлены на переоценку представленных в материалы дела доказательств, основаны на несогласии с выводами судов по фактическим обстоятельствам дела и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Совместное предприятие «Барзасское товарищество»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Совместное предприятие "Барзасское товарищество" (подробнее) Ответчики: Межрайонная инспекция Федеральной налоговой службы по крупнейшим налогоплательщикам №9 (подробнее) Межрайонная инспекция Федеральной налоговой службы по крупнейшим налогоплательщикам №9 по Кемеровской области (подробнее) Иные лица: межрайонная инспекция Федеральной налоговой службы по крупнейшим налогоплательщикам №1 по Кемеровской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