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19.09.2019, оставленным без изменения постановлением Семнадцатого арбитражного апелляционного суда от 05.12.2019 и постановлением Арбитражного суда Уральского округа от 04.02.2020, заявление предпринимателя о взыскании 68 000 рублей судебных расходов удовлетворено на сумму в 10 000 рублей. В кассационной жалобе предприниматель просит об отмене судебных актов вследствие неосновательного уменьшения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предпринимателем в связи с рассмотрением дела, во взысканном размере. Доводы жалобы сводятся к иной оценке обстоятельств несения расходов, не создающей оснований для кассационного пересмотра судебных актов.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Любушкин Роман Владиславович (подробнее) Ответчики: ПАО СТРАХОВАЯ КОМПАНИЯ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