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06.02.2018 в удовлетворении исковых требований отказано. Определением Арбитражного суда Удмуртской Республики от 17.06.2019, оставленным без изменения постановлением Семнадцатого арбитражного апелляционного суда от 08.10.2019 и постановлением Арбитражного суда Уральского округа от 25.12.2019, в удовлетворении заявлений сторон о взыскании судебных расходов отказано. В кассационной жалобе компания просит об отмене судебных актов в отношении отказа в удовлетворении ее заявления о взыскании судебных расходов, ссылаясь на неосновательное неприменение общего порядка распределения судебных расходов, понесенных в связи с рассмотрением заявления противной стороны о взыскании судебных расходов.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статьям 101, 106, 110 Арбитражного процессуального кодекса Российской Федерации, обстоятельствам дела и действующей судебной практике возмещения судебных издержек.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«УтильМастер»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