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11.07.2019, оставленным без изменения постановлением Восемнадцатого арбитражного апелляционного суда от 27.09.2019 и постановлением Арбитражного суда Уральского округа от 23.12.2019, иск удовлетворен. В кассационной жалобе комбинат просит о пересмотре судебных актов в отношении пеней, ссылаясь на неверную квалификацию правоотношений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применили договорную ответственность за несвоевременную оплату комбинатом товара, достижение соглашения о которой установили по правилу статьи 431 Гражданского кодекса Российской Федерации. Вмешательство в компетенцию судов на толкование договора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«Челябинский электрометаллургический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"Радиотелекоммуникации" (подробнее) Ответчики: АО "ЧЭМК"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