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24.07.2019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административного штрафа в размере 50000 рублей. 2 Постановлением Двенадцатого арбитражного апелляционного суда от 16.10.2019 решение суда первой инстанции отменено, в удовлетворении заявления отказано. Постановлением Арбитражного суда Поволжского округа от 30.01.2020 постановление суда апелляционной инстанции оставлено без изменения. Административный орган в жалобе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заявления, суд апелляционной инстанции исходил из того, что на момент рассмотрения настоящего дела общество вступившим в законную силу судебным актом (дело № А40-131537/2019 Арбитражного суда г. Москвы) уже привлечено к административной ответственности за допущенные нарушения части 7 статьи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при осуществлении возврата просроченной задолженности в отношении 8059 физических лиц, в число которых входит и вмененное нарушение. Суд округа согласился с выводами суда апелляционной инстанции. Доводы административного органа о том, что совершенные действия (бездействие) общества при осуществлении деятельности по возврату просроченной задолженности допущены одним лицом несколько раз и образуют составы самостоятельных правонарушений, направлены на преодоление состоявшейся процедуры привлечения к административной 3 ответственности исходя из определенного первоначально административным органом события и состава правонарушения.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