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30.09.2019, оставленным без изменения постановлением Шестнадцатого арбитражного апелляционного суда от 20.11.2019 и постановлением Арбитражного суда Северо-Кавказского округа от 29.01.2020, в удовлетворении заявленного требования отказано.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в удовлетворении требования прокуратуры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«РУСС ТРЕЙДИНГ» обратилось в управление с жалобой на нарушение заказчиком законодательства о контрактной системе при проведении электронного аукциона на оказание услуг по санитарно-техническому обслуживанию объектов прокуратуры. В ходе проверки обращения установлено, что в документации об аукционе заказчик неправомерно указал требования к составу и содержанию первой части заявки о необходимости предоставления показателей и характеристик по перечню средств, расходным материалам и инвентарю для оказания услуг. Решением антимонопольного органа прокуратура признана нарушившей пункт 1 части 1 статьи 33, пункты 1 и 2 части 1 статьи 64, часть 6 статьи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Считая решение управления незаконным, прокуратура обратилась в арбитражный суд. Оценив представленные в материалы дела доказательства, суды, руководствуясь положениями статей 33, 64, 66 Закона о контрактной системе, правовой позицией, изложенной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принимая во внимание представленные по запросу прокуратуры письма Федеральной антимонопольной службы от 09.08.2019 № M17/69117/19 и от 12.09.2019 № 17/79771/19, пришли к выводу об отсутствии у антимонопольного органа правовых оснований для принятия решения ввиду правомерного установления заказчиком в документации об аукционе требования к описанию участниками закупки в составе своих заявок конкретных показателей товаров, используемых при оказании услуг. Судебные инстанции отметили, что в документации об аукционе установлены требования только к особым характеристикам товара, при этом указав торговую марку чистящих средств с добавлением слова «эквивалент», заказчик не ограничил право на использование аналогов и круг потенциальных участников аукциона. 3 Заказчик вправе выбрать подлежащие использованию клиринговой компанией чистящие средства с учетом необходимости обеспечения безопасности жизни, здоровья, имущества и окружающей среды при обычных условиях его использования, хранения, транспортировки и утилизации. Доводы, изложенные в кассационной жалобе, повторяют позицию антимонопольного органа по спору,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Несогласие управления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Кабардино-Балкарской Республике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