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24.06.2019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административного штрафа в размере 50000 рублей. 2 Постановлением Двенадцатого арбитражного апелляционного суда от 15.10.2019 решение суда первой инстанции отменено, в удовлетворении заявления отказано. Постановлением Арбитражного суда Поволжского округа от 21.01.2020 постановление суда апелляционной инстанции оставлено без изменения. Административный орган в жалобе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заявления, суд апелляционной инстанции исходил из того, что на момент рассмотрения настоящего дела общество вступившим в законную силу судебным актом (дело № А40-131537/2019 Арбитражного суда г. Москвы) уже привлечено к административной ответственности за допущенные нарушения части 7 статьи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при осуществлении возврата просроченной задолженности в отношении 8059 физических лиц, в число которых входит и вмененное правонарушение. Суд округа согласился с выводами суда апелляционной инстанции. Доводы административного органа о том, что совершенные действия (бездействие) общества при осуществлении деятельности по возврату просроченной задолженности допущены одним лицом несколько раз и образуют составы самостоятельных правонарушений, направлены на преодоление состоявшейся процедуры привлечения к административной 3 ответственности исходя из определенного первоначально административным органом события и состава правонарушения.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