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04.07.2019 в удовлетворении заявленного требования отказано. Постановлением Тринадцатого арбитражного апелляционного суда от 15.10.2019 решение суда первой инстанции отменено, заявленные требования удовлетворены. Постановлением Арбитражного суда Северо-Западного округа от 30.01.2020 постановление суда апелляционной инстанции оставлено без изменения. Фонд просит отменить обжалуемые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удовлетворения жалобы. Отменяя решение суда первой инстанции и удовлетворяя заявленные требования, суд апелляционной инстанции руководствовался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и исходил из установленных обстоятельств, свидетельствующих о том, что наступление страхового случая и выплата пособия по беременности и родам не опровергнуты, к моменту назначения пособия трудовой договор с работником расторгнут не был, факт недобросовестных действий работодателя, направленных на формальное создание условий для получения средств для выплаты страхового возмещения, не доказан. Суд округа согласился с выводами суда апелляционной инстанции. Доводы кассационной жалобы были предметом исследования судов апелляционной и кассационной инстанций и получили исчерпывающую правовую оценку применительно к установленным обстоятельствам, не 3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