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04.09.2019, оставленным без изменения постановлением Третьего арбитражного апелляционного суда от 04.12.2019 и постановлением Арбитражного суда Восточно-Сибирского округа от 26.02.2020, в удовлетворении заявленного требования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службой надзора проведена внеплановая документарная проверка предприятия на предмет соблюдения обязательных требований жилищного законодательства. В ходе проверки установлено, что предприятие в нарушение пункта 59(1)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- Правила № 354), произвело начисление собственнику жилого помещения платы за коммунальную услугу по отоплению по нормативу потребления. В целях устранения нарушений выдано предписание, которое оспорено предприятием в арбитражный суд. Признавая предписание службы надзора законным, суды, оценив представленные в материалы дела доказательства, руководствуясь положениями статьи 157 Жилищного кодекса Российской Федерации, Правилами № 354, Правилами коммерческого учета тепловой энергии, теплоносителя, утвержденными постановлением Правительства Российской Федерации от 18.11.2013 № 1034 (далее - Правила № 1034), постановлением Правительства Красноярского края от 26.07.2016 № 373-п «О способе оплаты коммунальной услуги по отоплению на территории Красноярского края», пришли к выводу об отсутствии у предприятия оснований для расчета платы за коммунальную услугу по отоплению исходя из норматива потребления и необходимости произведения расчета из среднемесячного объема потребления. Судебные инстанции указали, что многоквартирный дом оборудован коллективным прибором учета тепловой энергии, имеющим в своем составе тепловычислитель, теплопреобразователь и два расходомера, которые фиксируют общий объем теплоносителя, отпущенный на нужды отопления и горячего водоснабжения. Доказательств несоответствия входящих в состав узла учета теплосчетчиков требованиям раздела II Правил №1034 в материалы дела не представлено и о наличии таковых не заявлено. При таких обстоятельствах расчет платы за отопление надлежало производить с учетом пункта 42(1) Правил № 354, регламентирующих порядок исчисления общего объема тепловой энергии, отпущенной на нужды отопления в ситуации оборудования многоквартирного дома прибором учета, 3 учитывающим совокупный объем коммунальных ресурсов, отпущенных на нужды отопления и горячего водоснабжения. Доводы, изложенные в кассационной жалобе, повторяют позицию предприятия по спору,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ошибки, не подтверждают существенных нарушений норм материального и процессуального права, повлиявших на исход дела, 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Шушенского района «Тепловые и электрические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