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22.03.2019, оставленным без изменения постановлением Первого арбитражного апелляционного суда от 21.08.2019, со страховой компании в пользу предпринимателя взыскано 239 923 рублей страхового возмещения, 18 234 рубля 14 копеек неустойки с 02.08.2018 по 16.10.2018 и далее по день фактического исполнения обязательства исходя из ставки 0,1 процента, но не более предусмотренного пунктом 6 статьи 16 Федерального закона 2 от 25.04.2002 № 40-ФЗ «Об обязательном страховании гражданской ответственности владельцев транспортных средств» лимита, 10 000 рублей расходов на независимую экспертизу, 3 000 рублей расходов на изготовление дубликата экспертных заключений, 5 000 рублей расходов на юридические услуги. Арбитражный суд Волго-Вятского округа постановлением от 29.01.2020 решение от 22.03.2019 и постановление Первого арбитражного апелляционного суда от 21.08.2019 оставил без изменения. В кассационной жалобе предприниматель просит об отмене судебных актов, ссылаясь на незаконное 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составляющих условия для применения статьи 333 Гражданского кодекса Российской Федерации, отнесено к компетенции нижестоящих судов, вмешательство в которую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Цветнову В.Н.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