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24.01.2017 исковые требования удовлетворены. Постановлением Семнадцатого арбитражного апелляционного суда от 03.09.2019 решение от 24.01.2017, обжалованное на основании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оставлено без изменения. Постановлением Арбитражного суда Уральского округа от 26.12.2019 постановление апелляционного суда от 03.09.2019 оставлено без изменения. В кассационной жалобе общество «Андекс» просит об отмене судебных актов апелляционного и окружного судов, ссылаясь на отсутствие оценки доказательств реальности оспариваемой поставки.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в связи с доводами предшественника заявителя исследовал обстоятельства исполнения договора от 18.05.2016 № 4 и установил осуществление поставки в его пределах. Изложенные в жалобе доводы заявителя обсуждены и оценены окружным судом, не опровергают установленных обстоятельств и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«Андекс»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"Златоустовский машиностроительный завод" (подробнее) ООО "АНДЕКС" (подробнее) ООО ГРУППА ПРЕДПРИЯТИЙ "АВАНГАРД" (подробнее) Ответчики: ООО НАУЧНО-ПРОИЗВОДСТВЕННОЕ ОБЪЕДИНЕНИЕ "РОДИНА" (подробнее) Иные лица: ООО "Торо"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