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02.07.2019, оставленным без изменения постановлением Тринадцатого арбитражного апелляционного суда от 16.09.2019, заявленные требования удовлетворены. 2 Постановлением Арбитражного суда Северо-Западного округа от 29.01.2020 указанные судебные акты отменены, дело направлено на новое рассмотрение в суд первой инстанции. Общество обратилось в Верховный Суд Российской Федерации с кассационной жалобой, в которой просит постановление суда округа отменить, считая его принятым с нарушением норм процессуального права.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Суд округа отменил судебные акты судов первой и апелляционной инстанций и направил дело на новое рассмотрение, действуя в пределах полномочий, предоставленных ему статьей 287 Арбитражного процессуального кодекса Российской Федерации, по основаниям, предусмотренным статьей 288 названного Кодекса. При этом суд округа указал на необходимость судам исследовать и оценить все представленные в материалы дела доказательства, и с учетом результата их оценки в совокупности и взаимосвязи принять обоснованное решение относительно квалификации поступивших от нерезидента денежных средств в целях определения порядка их зачисления на счета в банках.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3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спора,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