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03.06.2019, оставленным без изменения постановлением Девятого арбитражного апелляционного суда от 05.09.2019 и постановлением Арбитражного суда Московского округа от 25.12.2019, иск удовлетворен. В кассационной жалобе общество «Гарантия» просит о пересмотре судебных актов, ссылаясь на игнорирование судами несоблюдения установленного договором порядка расторжения договора, применения двойной ответственности, неправильного расчета неустойки и нарушения заказчиком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условия для законного отказа истца (заказчика) от договора от 05.07.2017 № 05/07/17-ЭОМ/СС (пункт 5 статьи 715 Гражданского кодекса Российской Федерации), в связи с чем обязали ответчика возвратить аванс на основании статьи 1102 Кодекса и взыскали сопутствующие неосновательному пользованию суммой аванса проценты (пункт 2 статьи 1107 Кодекса). Договорная неустойка применена к стоимости работ, которые не выполнены в согласованный договором срок, что является самостоятельным по отношению к пользованию суммой аванса нарушением. Расчет неустойки проверен апелляционным судом в связи с доводом заявителя. Действий заказчика, влекущих освобождение от ответственности за нарушение обязательства, суды не установили.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«Гарантия»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"ИМА-Кросс.Плюс" (подробнее) Ответчики: ООО "Гарантия"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