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15.08.2019, оставленным без изменения постановлением Первого арбитражного апелляционного суда от 28.10.2019, в удовлетворении заявленного требования отказано. Постановлением Арбитражного суда Волго-Вятского округа от 10.03.2020 указанные судебные акты оставлены без изменения. 2 Тарасова Т.Р. обратилась в Верховный Суд Российской Федерации с кассационной жалобой, в которой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жилищная инспекция рассмотрела обращение Тарасовой Т.Р. о привлечении энергосбытовой компании к административной ответственности по статье 7.23 Кодекса Российской Федерации об административных правонарушениях, и направила письменный ответ, в котором разъяснила порядок обращения исходя из установленных законодательством требований. Оценив представленные доказательства, руководствуясь положениями статьи 201 Арбитражного процессуального кодекса Российской Федерации, статьи 28.1 Кодекса Российской Федерации об административных правонарушениях,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02.05.2006 № 59-ФЗ «О порядке рассмотрения обращений граждан Российской Федерации», суды отказали в удовлетворении заявленных требований. При этом суды исходили из того, что для рассмотрения обращения необходимо проведение внеплановой проверки, тогда как обращение не может служить основанием для ее проведения; Тарасова Т.Р. вправе обратиться в жилищную инспекцию повторно, явившись лично или направив обращение по почте либо через портал государственных услуг. По смыслу части 1 статьи 291.1, части 7 статьи 291.6, статьи 291.11 Арбитражного процессуального кодекса Российской Федерации кассационная 3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невозможна, в том числе, защита нарушенных прав, свобод, законных интересов в сфере предпринимательской и иной экономической деятельности. Исходя из вышеизложенного, приведенные в жалобе доводы не являются достаточными для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