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04.04.2019 в удовлетворении заявленного требования отказано. Постановлением Девятнадцатого арбитражного апелляционного суда от 15.10.2019 решение суда первой инстанции отменено, заявленное требование удовлетворено. 2 Постановлением Арбитражного суда Центрального округа от 05.02.2020 постановление суда апелляционной инстанции отменено, решение суда первой инстанции оставлено в силе. Общество обратилось в Верховный Суд Российской Федерации с кассационной жалобой, в которой просит решение суда первой инстанции и постановление суда округа отменить,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и принятых по делу судебных актов таких оснований не установлено. Как следует из судебных актов, основанием для вынесения оспариваемого предписания послужили выводы административного органа о невыполнении обществом обязанности по рекультивации земель, обязательных мероприятий по улучшению земель и охране почв. Отменяя постановление суда апелляционной инстанции и оставляя в силе решение суда первой инстанции, суд округа руководствовался положениями Земельного кодекса Российской Федерации, Федерального закона от 10.01.2002 №7-ФЗ «О защите окружающей среды», постановления Правительства Российской Федерации от 10.07.2018 № 800 «О проведении рекультивации и консервации земель», и исходил из отсутствия в материалах дела доказательств нарушения прав и законных интересов общества оспариваемым предписанием, в том числе, в связи с отсутствием доказательств невозможности согласования проекта рекультивации и начала работы по рекультивации в указанный в 3 предписании срок, без учета чего суд апелляционной инстанции пришел к выводу о незаконности оспариваемого предписания. Указанные выводы суда в жалобе не опровергнуты. Приведенные в жалобе доводы предполагают необходимость переоценки имеющихся доказательств и установления иных фактических обстоятельств дела, что не относится к полномочиям Судебной коллегии Верховного Суда Российской Федерации, рассматривающей дело по правилам кассационного производства. Согласно части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заявленного ходатайства не имеется.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