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Московской области рассмотрено переданное по подсудности дело по иску акционерного общества «АРСЕНАЛ» о взыскании с общества с ограниченной ответственностью «Строй Групп» 6 400 000 рублей неосновательного обогащения и 29 957 рублей 60 копеек процентов за пользование чужими денежными средствами. Решением Арбитражного суда Московской области от 12.07.2019 иск удовлетворен в части взыскания 6 400 000 рублей неосновательного обогащения и 28 536 рублей 99 копеек процентов за пользование чужими денежными средствами, в удовлетворении иска в остальной части отказано. Постановлением Десятого арбитражного апелляционного суда от 19.09.2019 решение суда первой инстанции оставлено без изменения. Арбитражный суд Московского округа постановлением от 23.01.2020 указанные судебные акты оставил без изменения. Общество с ограниченной ответственностью «Строй Групп»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53 , 153 , 154 , 160 , 182 , 183 , 421 , 1102 , 1103 Гражданского кодекса Российской Федерации, суды сделали вывод об отсутствии у ответчика оснований для удержания полученных от истца денежных средств в отсутствие надлежащих и достоверных доказательств наличия между сторонами договорных отношений и фактического оказания автотранспортных услуг.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"Арсенал" (подробнее) Ответчики: ООО "Строй Групп"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