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28.06.2019, оставленным без изменения постановлением Одиннадцатого арбитражного апелляционного суда от 10.09.2019 и постановлением Арбитражного суда Поволжского округа от 23.01.2020, в иске отказано. В кассационной жалобе предприниматель просит об отмене судебных актов, ссылаясь на неправильное применение норм права и недоказанность ответчиком отсутствия вины в поставке некачественного товара.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несоблюдение предпринимателем договорного порядка приемки товара, лишившее возможности ссылаться на причастность общества к заявленным убыткам. В связи с неустановлением нарушения обществом обязательства и причинно-следственной связи между исполнением им договора и заявленными предпринимателем убытками в качестве необходимых в силу статей 15 , 393 Гражданского кодекса Российской Федерации условий для взыскания убытков в удовлетворении иска отказано правомерно.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ООО "Продмакс"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