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30.04.2019, оставленным без изменения постановлением Тринадцатого арбитражного апелляционного суда от 30.08.2019 и постановлением Арбитражного суда Северо-Западного округа от 25.12.2019, иск удовлетворен. В кассационной жалобе общество просит отменить судебные акты в связи с недоказанностью размера убытков.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необходимые в силу статей 15 , 393 Гражданского кодекса Российской Федерации условия для взыскания убытков вследствие ненадлежащего исполнения обществом обязательств в рамках договора на охрану объекта от 01.02.2017 № 521. Переоценка выводов судов в отношении условий применения ответственности не составляет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«Частная охранная организация «Цезарь»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ИП Алашкина Алла Владимировна (подробнее) Ответчики: ООО Частная охранная организация "Цезарь" (подробнее) Иные лица: ООО "ТРОЯН-Пультовая охрана" (подробнее) ООО "ЧОО "Контакт" (подробнее) СУ УВД СЗАО г. Москвы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