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03.09.2019, оставленным без изменения постановлением Семнадцатого арбитражного апелляционного суда от 06.11.2019 и постановлением Арбитражного суда Уральского округа от 23.01.2020, взыскано 888 050 рублей 84 копейки основного долга, 16 173 рубля 27 копеек процентов за пользование чужими денежными средствами, 99 рублей 17 копеек судебных издержек. В кассационной жалобе торговый дом просит об отмене судебных актов в отношении процентов как не соответствующих договору, ссылается на нерассмотрение заявления о взыскании всех судебных расходов с ответчика.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о неправильном расчете взысканных процентов рассмотрен апелляционным и окружным судом и признан не влияющим на изменение решения в отношении процентов. Не является он таковым и на стадии кассационного производства. Вопреки доводу заявителя применение правила статьи 111 Арбитражного процессуального кодекса Российской Федерации при определении судьбы судебных расходов обсуждено апелляционным судом и условий для него не установлено.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«Красностроение»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ТОРГОВЫЙ ДОМ КРАНОСТРОЕНИЕ (подробнее) Ответчики: ОАО "Каменск-Уральский металлургический завод"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