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01.07.2019, оставленным без изменения постановлением Шестнадцатого арбитражного апелляционного суда от 25.09.2019 и постановлением Арбитражного суда Северо-Кавказского округа от 24.12.2019, иск удовлетворен в части взыскания пеней. В кассационной жалобе общество просит о пересмотре судебных актов, ссылаясь на неосновательные выводы судов о выполнении работы ответчиком и использовании ее результата.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нарушило согласованный в договоре от 19.03.2018 № 19 порядок отказа от принятия предъявленной работы, поэтому в соответствии со статьями 702 , 720 , 779 Гражданского кодекса Российской Федерации признали работу принятой и уплаченные за нее денежные средства не подлежащими возврату. Иная оценка заявителем обстоятельств исполнения обязательств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 Д 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 Д М" (подробнее) Ответчики: ЮЖНАЯ ГИЛЬДИЯ ПЕКАРЕЙ, КОНДИТЕРОВ, ИНДУСТРИИ ГОСТЕПРИИМСТВА (подробнее) Судьи дела: Ксенофонтова Н.А.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