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19.08.2019, оставленным без изменения постановлением Десятого арбитражного апелляционного суда от 06.11.2019, исковые требования удовлетворены. Постановлением Арбитражного суда Московского округа от 27.01.2020 решение и постановление апелляционного суда отменены, дело направлено на новое рассмотрение в суд первой инстанции. В кассационной жалобе общество просит отменить постановление окружного суда, ссылаясь на нарушение контрактного законодательства и 2 отсутствие оснований для участия в деле Администрации Губернатора Московской области.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 неразрешение судами первой и апелляционной инстанций спорного вопроса о существенности и устранимости недостатков работы, влияющего на результат рассмотрения дела, в связи с чем в соответствии с полномочиями и пределами их осуществления, предусмотренными статьями 286, 287 Арбитражного процессуального кодекса Российской Федерации, признал обстоятельства дела не установленными, а дело – подлежащим новому рассмотрению. Возражения в отношении привлечения к участию в деле других лиц обществу необходимо заявлять в суде первой инстанции. На основании изложенного,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«Кай Девелопмент»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