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08.05.2019, оставленным без изменения постановлением Девятого арбитражного апелляционного суда от 02.09.2019 и постановлением Арбитражного суда Московского округа от 18.12.2019, иск удовлетворен. В кассационной жалобе общество просит о пересмотре судебных актов, ссылаясь на просрочку учреждения в принятии товара как основание для освобождения от ответственности и неисследование обстоятельств хранения товара и замены его производителем.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Выявление в пределах гарантийного срока некачественности поставленного обществом в рамках государственного контракта от 15.11.2016 № 0373100056016000597 товара и связанное с ним право на применение заявленных последствий установлены судами, поэтому иск удовлетворен в соответствии со статьями 469 , 475 , 506 , 521 Гражданского кодекса Российской Федерации. Обстоятельств, освобождающих от согласованной контрактом ответственности за нарушение срока поставки товара, суды не установили.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«ФишМастер»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ФКУ "Центральное окружное управление материально-технического снабжения МВД РФ" (подробнее) Ответчики: ООО ФишМастер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