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недействительной сделкой договора купли-продажи от 24.02.2016 № 24-02/1 автомобиля- самосвала «MERCEDES-BENZ ACTROS 3341K», 2013 года выпуска; идентификационный номер (VIN) &lt;***&gt;, заключенного между должником и обществом с ограниченной ответственностью «АМВ-Транс», и о применении последствий недействительности сделки. Определением Арбитражного суда Пермского края от 12.08.2019 заявление удовлетворено. Постановлением Семнадцатого арбитражного апелляционного суда от 26.11.2019, оставленным без изменения постановлением Арбитражного суда Уральского округа от 17.02.2020, отменено определение суда первой инстанции от 12.08.2019, отказано в удовлетворении заявления.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отказывая в удовлетворении требований,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2 статьи 199 Гражданского кодекса Российской Федерации, пункта 2 статьи 61.2, статей 61.9 и 126 Федерального закона от 26.10.2002 № 127-ФЗ «О несостоятельности (банкротстве)», установив, что конкурсный управляющий, действуя добросовестно и разумно, мог и должен был узнать о совершении оспариваемой сделки не позднее 01.03.2017, а обратился в суд с заявлением о признании данной сделки недействительной 21.09.2018, пришел к выводу о подаче заявления за пределами срока исковой давности, о чем заявлено стороной спора, что является самостоятельным основанием для отказа в удовлетворении требований.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Доводы, приведённые в кассационной жалобе, по своей сути направлены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«ТЭК-Строй. Управление капитального строительства»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Банк ВТБ 24 (публичное) (подробнее) ООО "Лесторг" (подробнее) ООО "Промтранс-комплект" (подробнее) ООО "Спецстройтехника" (подробнее) ООО "ТК "Магнит" (подробнее) ООО "Трак-шина" (подробнее) ООО "УралПромПоставка" (подробнее) Ответчики: ООО "АМВ-Транс" (подробнее) ООО "ТЭК-СТРОЙ.УПРАВЛЕНИЕ КАПИТАЛЬНОГО СТРОИТЕЛЬСТВА" (подробнее) Иные лица: ААУ "Солидарность" (подробнее) ИФНС России по Индустриальному району г. Перми (подробнее) ООО АМВ-Транс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