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сделки по внесению должником в уставной капитал общества с ограниченной ответственностью «Миранда» следующего недвижимого имущества: нежилого здания общей площадью 1047,7 кв. м, назначение служебное, земельного участка с кадастровым номером 77:07:0005005:9 площадью 4879 кв. м, расположенных по адресу: &lt;...&gt;, оформленную заявлением должника о намерении войти в состав участников от 17.11.2014; решением единственного участника должника от 17.11.2014; актом приема- передачи имущества в уставной капитал от 27.11.2014; применении последствий недействительности сделки. Определением Арбитражного суда Республики Ингушетия от 18.07.2019, оставленным без изменения постановлением Шестнадцатого арбитражного апелляционного суда от 29.10.2019, заявление удовлетворено. Постановлением Арбитражного суда Северо-Кавказского округа от 27.08.2019 вышеуказанные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заявления, суд округа руководствовался пунктом 2 статьи 61.2 Федерального закона от 26.10.2002 № 127-ФЗ «О несостоятельности (банкротстве)», пунктами 4 – 9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оспариваемая сделка совершена более чем за три года до возбуждения дела о банкротстве должника, то есть за пределами периода подозрительности, в связи с чем, не может быть признана недействительными по специальным (банкротным) основаниям. При этом самим конкурсным управляющим не было доказано наличие у неё пороков, выходящих за пределы дефектов сделок с предпочтением или подозрительных сделок, и как следствие оснований для применения положений статей 10 и 168 Гражданского кодекса Российской Федерации.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«Возрождение»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KHS GmbH (КХС ГмбХ) (подробнее) КХС ГмбХ (KHX GmbH) (подробнее) ООО "АРТИС ПЛАЗА ОТЕЛЬ" (подробнее) ООО Группа "Артис" (подробнее) ООО "Инфра-Рей" (подробнее) УФНС России по РИ (подробнее) Ответчики: ООО "Возрождение" (подробнее) ООО "Миранда" (подробнее) Иные лица: К/у Эстемиров М.А. (подробнее) НП "Объединение арбитражных управляющих "Возраждение" (подробнее) СРО Ассоциация "МСК ПАУ "Содружество" (подробнее) Управление Федеральной службы государственной регистрации кадастра и картографии по РИ (подробнее) УФНС по РИ (подробнее) Судьи дела: Корнелюк Е.С. (судья) (подробнее) Последние документы по делу: Определение от 6 мая 2020 г. по делу № А18-176/2019 Определение от 29 апреля 2020 г. по делу № А18-176/2019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