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21.02.2019, заявленное требование удовлетворено частично, решение инспекции признано недействительным в части доначисления 1 647 615 рублей налога на прибыль, соответствующих пеней, 399 496 рублей 34 копеек штрафа по пункту 1 статьи 122 Налогового кодекса и 200 рублей штрафа по пункту 1 статьи 126 Налогового кодекса; в удовлетворении требования в остальной части отказано. Постановлением Четырнадцатого арбитражного апелляционного суда от 04.10.2019, оставленным без изменения постановлением Арбитражного суда Северо-Западного округа от 06.02.2020, решение суда первой инстанции отменено в части признания недействительным решения налогового органа о доначислении 1 419 440 рублей налога на прибыль, начислении соответствующих сумм пеней и штрафа, в удовлетворении требования в указанной части отказано. В остальной части решение суда оставлено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признании недействительным решения инспекции о начислении 1 591 914 рублей налога на прибыль, соответствующих сумм пени и штрафа, требование в указанной части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обжалуемой части (начисления 1 591 914 рублей налога на прибыль, соответствующих сумм пени и штрафа) послужили выводы инспекции о неправомерном включении обществом в состав косвенных расходов затрат на приобретение электроэнергии и горюче-смазочных материалов, а также о завышении расходов на сумму начисленной амортизации в отношении основных средств – системы позиционирования бревен и оборудования для бесконтактного изменения ширины бруса в связи с неправильным определением их амортизационной группы. Признавая незаконным доначисление 1 483 616 рублей налога на прибыль, суд первой инстанции исходил из того, что затраты на приобретение топлива и электроэнергии являются сопутствующими производству пиломатериалов и изъяты из закрытого перечня прямых расходов, в связи с чем правомерно отнесены налогоплательщиком в состав косвенных расходов. Отменяя решение суда и признавая решение инспекции в указанной части законным, суд апелляционной инстанции, руководствуясь положениями статей 252 , 253 , 254 , 272 , 318 , 319 Налогового кодекса, принимая во внимание учетную политику общества и специфику технологического процесса производства сухих сортированных пиломатериалов, пришел к выводу о правомерном отнесении затрат на приобретение топлива и электроэнергии к прямым расходам заявителя, с чем согласился суд округа. Судебные инстанции исходили из того, что спорные затраты являются неотъемлемой частью расходов, связанных с основной производственной деятельностью общества, и формируют стоимость выпускаемой готовой продукции. При этом экономическое либо иное рациональное обоснование отнесения данных затрат к косвенным расходам обществом не приведено и невозможность их отнесения к прямым расходам не доказана. Рассматривая спор по эпизоду исключения инспекцией из состава расходов общества затрат на амортизацию двух единиц оборудования, суды трех инстанций, оценив представленные в материалы дела доказательства, руководствуясь положениями статей 253 , 256 , 258 Налогового кодекса, установили, что спорные объекты в классификации основных средств не поименованы, в связи с чем их отнесение в амортизационную группу осуществляется исходя из срока полезного использования, определяемого в соответствии с техническими условиями или рекомендациями организаций изготовителей. Поскольку средний срок службы системы позиционирования бревен и оборудования для бесконтактного изменения составляет не менее семи и пяти лет соответственно, общество неправомерно отнесло данные объекты основных средств ко второй амортизационной группе со сроком полезного использования свыше 2 лет до 3 лет включительно, не подтвердив при этом заявленный срок полезного использования (25 месяцев). Доводы, изложенные в кассационной жалобе, повторяют позицию общества по спору, являлись предметом рассмотрения судов и получили надлежащую правовую оценку с учетом установленных обстоятельств спора. Приведенные доводы не подтверждают существенных нарушений норм материального и процессуального права, повлиявших на исход дела, по существу, направлены на переоценку представленных в материалы дела доказательств, основаны на несогласии с выводами судов по фактическим обстоятельствам дела и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«Лесопильный и деревообрабатывающий комбинат № 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"Лесопильный и деревообрабатывающий комбинат №2" (подробнее) Ответчики: Межрайонная инспекция Федеральной налоговой службы №5 по Вологодской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