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компания «Экстерран Энерджи Солюшнс Л.П.» (далее – компания) обратилась в суд с заявлением о включении в реестр требований кредиторов должника задолженности в размере 167 148 865 рублей 68 копеек. Определением Арбитражного суда города Москвы от 31.05.2019, оставленным без изменения постановлением Девятого арбитражного апелляционного суда от 03.12.2019, в третью очередь реестра требований кредиторов должника включено требование компании в размере 135 186 076 рублей 32 копеек основного долга и 31 962 773 рублей 14 копеек – процентов за пользование чужими денежными средствам. Постановлением Арбитражного суда Московского округа от 03.03.2020 отменены определение суда первой инстанции от 31.05.2019 и постановление апелляционного суда от 03.12.2019 в части включения требования в размере 21 611 136 рублей, в отменной части обособленный спор направлен на новое рассмотрение в Арбитражный суд города Москвы, в остальной части судебные акты оставлены без изменения. В кассационных жалобах, поданных в Верховный Суд Российской Федерации, заявители просят отменить указанные судебные акты в части 2 удовлетворения требований компании, обособленный спор направить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71 и 100 Федерального закона от 26.10.2002 № 127-ФЗ «О несостоятельности (банкротстве)», установив реальность отношений, послуживших основанием для обращения компании с заявленными требованиями, пришли к выводу об их частичной обоснованности и подтверждённости первичными документами, указав на отсутствие доказательств полного погашения задолженности основным должником либо поручителем.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«Газпром» и компании «Осом Сплендор Лтд.»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