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 обратился в суд с исковым заявлением к арбитражному управляющему ФИО2 о взыскании 152 818 рублей 41 копейки процентов за пользование чужими денежными средствами за период с 03.10.2017 по 09.10.2018. Решением Арбитражного суда Белгородской области от 29.05.2019, оставленным без изменения постановлениями Девятнадцатого арбитражного апелляционного суда от 18.10.2019 и Арбитражного суда Центрального округа от 25.12.2019, иск удовлетворён.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395 Гражданского кодекса Российской Федерации, статьи 126 Федерального закона от 26.10.2002 № 127-ФЗ «О несостоятельности (банкротстве)», позицией, изложенной в пункте 9 постановления Пленума Высшего Арбитражного Суда Российской Федерации от 06.12.2013 № 88 «О начислении и оплате процентов по требованиям кредиторов при банкротстве», установив обоснованность и подтверждённость исковых требований, признали их подлежащими удовлетворению.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