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27.06.2019, оставленным без изменения постановлениями Пятнадцатого арбитражного апелляционного суда от 18.09.2019 и Арбитражного суда Северо-Кавказского округа от 14.01.2020, исковое заявление удовлетворено. В кассационной жалобе, поданной в Верховный Суд Российской Федерации, предприниматель ставит вопрос об отмене принятых по делу судебных актов, ссылаясь на нарушение судами норм процессуального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целях возмещения части затрат на содержание товарного маточного поголовья крупного рогатого скота специализированных мясных пород в рамках реализации мероприятий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05.10.2015 № 944, на основании соглашения от 06.06.2018 № 534 министерство предоставило предпринимателю из краевого бюджета 3 039 006 рублей 60 копеек субсидии. Ввиду необеспечения предпринимателем показателя результативности по численности товарного поголовья коров специализированных мясных пород за 2018 год (0 голов вместо 770) , что следует из представленной им информации, министерство направило предпринимателю требование от 12.02.2019 № 206-04-05-1236/19 о возврате 3 039 006 рублей 60 копеек субсидии. Неисполнение предпринимателем требования о возврате субсидии послужило основанием для обращения министерства в арбитражный суд. Удовлетворяя заявление,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 , 6 , 78 , 152 , 306.1 Бюджетного кодекса Российской Федерации, статьи 395 Гражданского кодекса Российской Федерации, Порядком предоставления за счет средств краевого бюджета субсидий сельскохозяйственным товаропроизводителям в целях возмещения части затрат на содержание товарного маточного поголовья крупного рогатого скота специализированных мясных пород в рамках мероприятия «Содействие развитию агропромышленного комплекса (с учетом достижения целевых показателей)»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утвержденным приказом министерства сельского хозяйства и перерабатывающей промышленности Краснодарского края от 19.03.2018 № 69, принимая во внимания условия соглашения, заключенного между министерством и предпринимателем, пришли к выводу о наличии оснований для взыскания полученной субсидии. При этом судебные инстанции исходили из недостижения предпринимателем показателей результативности, предусмотренных соглашением от 06.06.2018 № 534. Доводы кассационной жалобы являлись предметом рассмотрения судов и получили надлежащую правовую оценку,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Существенных нарушений норм процессуального права, являющихся безусловным основанием для отмены судебных актов, как это предусмотрено частью 4 статьи 288 Арбитражного процессуального кодекса, судами не допущено.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сельского хозяйства и перерабатывающей промышленности Краснодарского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