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Тимм Э.В. обратился в суд с заявлением о взыскании в его пользу с должника 235 232 рублей 41 копеек, в том числе 145 505 рублей 04 копеек фиксированного вознаграждения временного управляющего, 60 000 рублей процентов по вознаграждению временного управляющего и 29 817 рублей 37 копеек в возмещение расходов, понесенных управляющим в процедуре наблюдения. Определением Арбитражного суда Пермского края от 06.06.2019 с должника в пользу Тимма Э.В. взыскано фиксированное вознаграждение в сумме 145 505 рублей 04 копеек, требования в части установления суммы процентов по вознаграждению временного управляющего и взыскания суммы понесенных расходов выделено в отдельное производство, их рассмотрение отложено. 2 Определением Арбитражного суда Пермского края от 30.07.2019, оставленным без изменения постановлениями Семнадцатого арбитражного апелляционного суда от 16.10.2019 и Арбитражного суда Уральского округа от 14.01.2020, приостановлено производство по заявлению об установлении суммы процентов по вознаграждению временному управляющему до получения результатов по инвентаризации имущества должника, требования в части взыскания расходов удовлетворены частично, с должника в пользу Тимма Э.В. взыскано 18 052 рублей 77 копеек судебных расходов,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 в части возмещения расходов на общую сумму 10 688 рублей 60 копеек, понесённых в связи с публикациями сообщения в ЕФРСБ и газете «Коммерсант» о созыве собрания работников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20.3 Федерального закона от 26.10.2002 № 127-ФЗ «О несостоятельности (банкротстве)», установив, что среднесписочная численность работников должника составляет один человек - директор (учредитель) должника, который принимает самостоятельное участие в деле о банкротстве, признали заявленные траты на публикацию не соответствующим целям процедуры банкротства, требованиям разумности и целесообразности. Выводы судов соответствуют нормам права, оснований для переоценки этих выводов по доводам жалобы не имеется. Нарушений норм материального 3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путем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Тимму Эдуарду Вениаминовичу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арбитражного управляющего Тимма Эдуарда Вениаминовича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