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26.04.2019, оставленным без изменения постановлением Седьмого арбитражного апелляционного суда от 10.10.2019 и постановлением Арбитражного суда Западно-Сибирского округа от 20.01.2020,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по эпизоду, связанному с доначислением налога на прибыль.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решение, которым доначислены 41 347 369 рублей налога на прибыль, 61 714 170 рублей НДС, 24 527 226 рублей пеней и 18 551 893 рубля штрафных санкций. Решением управления отменено решение инспекции в части взыскания с общества штрафа в размере 16 928 305 рублей и с учетом обстоятельств, смягчающих ответственность, сумма штрафа составила 1 660 419 рублей. Не согласившись с решением инспекции в редакции решения управления, общество обратилось в арбитражный суд. При рассмотрении дела судами установлено, что в проверяемом периоде общество выступало в качестве застройщика и генерального подрядчика многоквартирных жилых домов, в связи с чем заключило с обществами «СтройИнвестПроект», СК «СибСтрой» и «КапиталСтройИнвест» договоры на выполнение субподрядных строительно-монтажных работ, а также договоры на оказание услуг по аренде строительной техники. Основанием для доначисления инспекцией налогов послужил вывод о неправомерном занижении внереализационных доходов в связи с уменьшением финансового результата (прибыли) от долевого финансирования объектов строительства за счет включения в их себестоимость затрат по договорам с указанными контрагентами, а также неправомерном отнесении на расходы стоимости услуг по аренде строительной техники, оказанных обществами «СтройИнвестПроект» и «КапиталСтройИнвест». Исследовав и оценив представленные в материалы дела доказательства, суды согласились с выводами налогового органа о том, что представленные обществом первичные учетные документы не подтверждают реальность спорных хозяйственных операций заявителя с указанными контрагентами, направлены на создание фиктивного документооборота в целях получения необоснованной налоговой выгоды. Судебные инстанции указали, что контрагенты заявителя не могли выполнять обязательства по договорам в силу отсутствия управленческого и технического персонала, производственных активов, транспортных средств и спецтехники, движение денежных средств носило транзитный характер. Суды приняли во внимание неполноту и противоречивость информации, содержащейся в представленных документах, а также изъятых налоговым органом, которые свидетельствуют о выполнении строительно-монтажных работ собственными силами заявителя с использованием собственных материалов либо силами реальных субподрядчиков, затраты по которым учтены в себестоимости спорных объектов. Установив указанные обстоятельства, руководствуясь положениями статей 169 , 171 , 172 , 252 Налогового кодекса Российской Федерации (далее -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законности решения инспекции. В кассационной жалобе заявитель не согласен с судебными актами в части доначисления оспариваемым решением налога на прибыль. Между тем, приведенные доводы о реальности хозяйственных операций, проявлении должной осмотрительности,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«ИНТЕРСТРОЙ-Н»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"Интерстрой-Н" (подробнее) Ответчики: Инспекция Федеральной налоговой службы по Ленинскому району г. Новосибирска (подробнее) Иные лица: Ленинский районный суд города Новосибирска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