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«СТ-5» (далее – общество) обратилось в суд с заявлением о включении в реестр требований кредиторов должника неустойки в размере 2 693 444 рублей. Определением Арбитражного суда Свердловской области от 30.07.2019, оставленным без изменения постановлениями Семнадцатого арбитражного апелляционного суда от 14.11.2019 и Арбитражного суда Уральского округа от 30.01.2020, требование признано обоснованным и подлежащим удовлетворению после погашения основной суммы задолженности и причитающихся процентов.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100, Федерального закона от 26.10.2002 № 127-ФЗ «О несостоятельности (банкротстве)», пунктами 71, 72, 73, 77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исходили их того, что требование подтверждено документально, заявлено в пределах соответствующего срока и по состоянию на день рассмотрения обоснованности заявления не погашено, в связи с чем в отсутствии доказательств явной несоразмерности неустойки последствиям неисполнения обязательства, признано обоснованным.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единственному учредителю (участнику) общества с ограниченной ответственностью «Цвет мебели» Миртову Андрею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