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обратилась в суд с заявлением об исключении требования акционерного общества Банк «Северный морской путь» (далее – банк) из реестра требований кредиторов в отношении требований о передаче жилых помещений, основанных на договорах о финансировании строительства от 03.12.2004 № БЛ/03-003, от 16.12.2004 № БЛ/03-004, от 17.12.2004 № БЛ/02-001, от 26.11.2004 № БЛ/03-002, от 24.10.2005 № БЛ/04-001. Определением Арбитражного суда Московской области от 26.06.2019, оставленным без изменения постановлениями Десятого арбитражного апелляционного суда от 27.09.2019 и Арбитражного суда Московского округа от 02.03.2020,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16, 201.1, 201.10 Федерального закона от 26.10.2002 № 127-ФЗ «О несостоятельности (банкротстве)», пунктом 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отсутствия оснований для исключения требования кредитора из реестра, поскольку оно не нарушает требования законодательства о банкротстве и права заявителя,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Пятницковой Кристине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