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05.06.2019, оставленным без изменения постановлением Девятого арбитражного апелляционного суда от 25.09.2019 и постановлением Арбитражного суда Московского округа от 30.01.2020, в удовлетворении заявленного требования отказано. 2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ФАС России с жалобой на действия учреждения и комитета при проведении аукциона на выполнение работ по строительству транспортной развязки. Решением антимонопольного органа жалоба общества признана обоснованной в части неправомерного установления в документации об аукционе требований к описанию участниками закупки в составе своих заявок на участие в аукционе помимо конкретных показателей товаров, используемых при оказании услуг, результатов испытаний таких товаров; учреждение и комитет признаны нарушившими пункт 2 части 1 статьи 64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системе). Считая решение незаконным, учреждение обратилось в арбитражный суд. Оценив представленные в материалы дела доказательства, суды, руководствуясь положениями статей 33, 34, 64, 66, 99, 105, 106 Закона о контрактной системе, пунктом 6.6. ГОСТ 9128-2013 «Смеси асфальтобетонные, полимерасфальтобетонные, асфальтобетон, полимерасфальтобетон для автомобильных дорог и аэродромов. Технические условия», пришли к выводу о законности ненормативных актов антимонопольного органа ввиду доказанности неправомерного установления в документации об аукционе требования к описанию участниками закупки в составе заявок на участие в аукционе помимо конкретных показателей товаров, используемых при оказании услуг, результатов испытаний таких товаров. Судебные инстанции отметили, что требование о предоставлении сведений о результатах испытаний не предусмотрено частью 6 статьи 66 Закона о контрактной системе и приводит к ограничению количества участников закупки, поскольку на момент заполнения заявки не все участники обладают предлагаемым к использованию при выполнении работ товаром и подробными 3 сведениями о применяемых при его изготовлении веществах, результатах испытаний, материалах. При этом указание участниками примерных значений таких показателей товара в пределах установленных заказчиком диапазонов не свидетельствует о поставке товара с аналогичными показателями и может привести к представлению недостоверной информации о поставляемом товаре. Доводы, изложенные в кассационной жалобе, в том числе о несогласии с позицией ФАС России в отношении формы и структуры по заполнению первой части заявки, не опровергают выводы судов, послужившие основанием для признания оспоренного решения законным, не свидетельствуют о существенных нарушениях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Ленинградской области «Управление автомобильных дорог Ленинградской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