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пересмотре по вновь открывшимся обстоятельствам определения Арбитражного суда Московской области от 10.11.2017 об отказе в удовлетворении поданного им заявления о включении в реестр требований кредиторов 153 980 950 рублей 52 копеек. Определением Арбитражного суда Московской области от 08.04.2019, оставленным без изменения постановлениями Десятого арбитражного апелляционного суда от 27.06.2019 и Арбитражного суда Московского округа от 12.02.2020,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положениями статей 309-312 Арбитражного процессуального кодекса Российской Федерации, пунктами 3-5 постановления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обстоятельствам», и исходили из того, что приводимые заявителем обстоятельства не соответствовали признакам вновь открывшихся, в связи с чем не могли служить основанием для пересмотра судебного акта. Суды также отметили, что предметом правовой оценки в рамках названного заявителем дела являлся статус сделки, положенной в основу заявленного требования, а не определение размера задолженности по подрядным работам. Выводы судов соответствуют нормам права, оснований для переоценки этих выводов не имеется.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«СК Капитал Групп»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