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17.09.2019, оставленным без изменения постановлениями Семнадцатого арбитражного апелляционного суда от 29.11.2019 и Арбитражного суда Уральского округа от 03.03.2020, в удовлетворении заявленного требования отказано. В кассационной жалобе учреждение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в одностороннем порядке принято решение об отказе от исполнения контракта в связи с грубым и систематическим нарушением обществом (исполнитель) обязательств по контракту, заключенному по результатам электронного аукциона на оказание услуг по охране, осуществлению пропускного режима на территории и в стационаре учреждения.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управлением вынесено оспариваемое решение об отказе во включении в реестр недобросовестных поставщиков сведений об обществе.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95, 104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суды пришли к выводу об отсутствии оснований для признания ненормативного акта недействительным с учетом установленных обстоятельств по делу. При этом судебные инстанции исходили из того, что установление лишь факта ненадлежащего исполнения обществом обязательств по контракту не является достаточным основанием для включения его в реестр недобросовестных поставщиков. При исследовании обстоятельств дела установлено, что учреждением не представлено доказательств, достоверно подтверждающих факт нахождения на посту сотрудников общества (охранников) в состоянии алкогольного опьянения при исполнении обязательств по контракту. 3 Кроме того, суды указали, что при подтверждении факта оказания обществом услуг по охране вверенного ему объекта, непредставление графика дежурств не может считаться таким нарушением условий контракта, которое позволяет однозначно квалифицировать поведение исполнителя контракта как недобросовестное и свидетельствовать о наличии оснований для включения сведений о данном лице в реестр недобросовестных поставщиков. Доводы учреждения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здравоохранения Свердловской области «Свердловская областная клиническая больница №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