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30.07.2019, оставленным без изменения постановлением Шестого арбитражного апелляционного суда от 01.10.2019 и постановлением Арбитражного суда Дальневосточного округа от 22.01.2020, в удовлетворении заявленных требований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требования.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оспоренное решение принято инспекцией по результатам камеральной налоговой проверки представленной обществом уточненной налоговой декларации по НДС за 4 квартал 2017 года. Основанием для принятия решения послужил вывод налогового органа о необоснованном предъявлении налогоплательщиком к вычету 4 010 229 рублей НДС, уплаченного по счетам-фактурам, выставленным контрагентами ООО «Инженер Класс» (договор подряда на выполнение работ по погрузке и вывозу строительного мусора), ООО «Строительная компания «Капитель» (договор подряда на выполнение работ по сносу зданий аэровокзалов) и ООО «Амурские строительные решения» (договор подряда на выполнение работ по устройству ограждения строительной площадки). Оценив представленные в материалы дела доказательства, суды установили, что представленные обществом в подтверждение права на налоговый вычет по НДС первичные документы содержат недостоверные, противоречивые сведения и не подтверждают реальность хозяйственных операций с заявленными в них контрагентами, которые обладают признаками номинальных организаций и не имели возможности выполнить предусмотренные договорами работы, в том числе в связи с отсутствием необходимых трудовых и материальных ресурсов. Учитывая установленные обстоятельства, руководствуясь положениями статей 169, 171, 172 Налогового кодекса Российской Федерации, разъяснениями, изложенными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судебные инстанции пришли к выводу о доказанности налоговым органом совокупности обстоятельств, свидетельствующих об отсутствии реальных финансово-хозяйственных отношений общества со спорными контрагентами и создании формального документооборота с целью получения необоснованной налоговой выгоды в виде незаконного применения вычетов по НДС, в связи с чем признали решение инспекции законным. 3 Доводы, изложенные в кассационной жалобе, в том числе о проявлении должной степени осмотрительности при выборе контрагентов и о выполнении работ с привлечением субподрядчиков, являлись предметом рассмотрения судов, получили правовую оценку и с учетом установленных обстоятельств не свидетельствуют о существенных нарушениях норм материального и процессуального права, повлиявших на исход дела. По существу доводы жалобы выражают несогласие с выводами судов по фактическим обстоятельствам спора и направлены на переоценку представленных в материалы дела доказательств, что не может служить основанием для пересмотра обжалуемых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«Международный аэропорт Хабаровск»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