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20.06.2019, оставленным без изменения постановлениями Девятого арбитражного апелляционного суда от 23.09.2019 и Арбитражного суда Московского округа от 24.01.2020, в удовлетворении искового требования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аукциона в электронной форме между учреждением (заказчик) и обществом (исполнитель) заключен государственный контракт от 24.09.2018 № 0348100085018000057-025173-01 на выполнение работ по изготовлению ортопедической обуви по обмерам с подгонкой колодки, в том числе вкладных башмачков из специальных деталей, межстелечных слоев по обмерам с подгонкой колодки, для инвалидов в 2018 году (далее - контракт). В связи с существенными нарушениями обществом условий контракта заказчиком принято оспариваемое решение об одностороннем отказе от его исполнения. Основанием для принятия решения об одностороннем отказе от исполнения контракта послужили выводы учреждения о том, что в нарушение пункта 4.1.1 контракта исполнителем в течение 30 дней с даты направления заказчиком исполнителю реестров получателей изделий и по состоянию на 24.12.2018, не изготовлено 12 изделий, в результате три получателя остались не обеспеченными сложной ортопедической обувью и лишены права на восстановительную терапию при лечении заболевания, ставшего причиной инвалидности; заказчику не представлены документы, подтверждающие изготовление изделий в предусмотренном контрактом количестве. Отказывая в удовлетворении искового требования,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307, 309, 310, 450, 522, 523, 525, 526 Гражданского кодекса Российской Федерации, статей 24, 33, 64, 94,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у учреждения правовых оснований для одностороннего отказа от исполнения контракта. При этом судебные инстанции исходили из того, что исполнителем допущены существенные нарушения условий контракта об объеме и сроках выполнения работ по изготовлению изделий, которые невозможно устранить в связи с окончанием срока действия контракта. 3 Суды отметили, что процедура принятия решения об одностороннем отказе от исполнения контракта заказчиком не нарушена. Обстоятельства данного спора и представленные доказательства были предметом рассмотрения и оценки судов. Доводы, изложенные в кассационной жалобе, направлены на переоценку установленных по делу обстоятельств и представленных в материалы дела доказательств,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«Транснациональная фармацевтическая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