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22.05.2019, оставленным без изменения постановлениями Девятого арбитражного апелляционного суда от 28.08.2019 и Арбитражного суда Московского округа от 24.01.2020, в удовлетворении заявленных требований отказано. В жалобе учреждение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(заказчик), комитета и акционерного общества «ЭТС» при проведении электронного аукциона на право заключения государственного контракта на выполнение работ по строительству транспортной развязки, ФАС России принято решение. Антимонопольным органом жалоба общества признана обоснованной, в действиях заказчика и комитета выявлены нарушения части 13 статьи 34, пункта 2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Выдано предписание об устранении нарушений законодательства Российской Федерации о контрактной системе в сфере закупок. Считая ненормативные акты антимонопольного органа незаконными, учреждение обратилось в арбитражный суд. Отказывая в удовлетворении заявленных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8, 33, 34, 64 Закона о контрактной системе, пришли к выводу о том, что оспариваемое решение и выданное на его основании предписание соответствуют положениям действующего законодательства и не нарушают прав и законных интересов заявителя. Судебные инстанции исходили из того, что заказчиком и комитетом в проекте государственного контракта, документации об аукционе установлен ненадлежащий порядок предоставления заказчиком аванса и его конкретный размер. Кроме того, представленными в материалы дела доказательствами подтверждается установление ненадлежащим образом в документации об аукционе требования к значениям показателей (характеристик) товаров, используемых при выполнении работ.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3 повлиявших на исход дела,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Ленинградской области «Управление автомобильных дорог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