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04.06.2019, оставленным без изменения постановлением Тринадцатого арбитражного апелляционного суда от 02.09.2019 и постановлением Арбитражного суда Северо-Западного округа от 19.02.2020, заявленные требования удовлетворены. В кассационной жалобе, поданной в Верховный Суд Российской Федерации, антимонопольный орган, ссылаясь на существенное нарушение норм права, просит отменить судебные акты и в удовлетворении требований предприятия отказать.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заказчиком опубликовано извещение о проведении конкурса в электронной форме на право заключения договора на оказание услуг по мониторингу общественного мнения на предмет соблюдения правил дорожного движения Российской Федерации водителями транспортных средств предприятия. Общество обратилось в управление с жалобой на действия закупочной комиссии заказчика, выразившиеся в необоснованном отклонении заявки от участия в процедуре закупки по причине несоответствия пункту 15 информационной карты, согласно которому первая часть заявки должна быть обезличена. Решением антимонопольного органа жалоба общества признана обоснованной, а закупочная комиссия заказчика – нарушившей пункт 2 части 1 и часть 6 статьи 3 Федерального закона от 18.07.2011 № 223-ФЗ «О закупках товаров, работ, услуг отдельными видами юридических лиц» (далее – Закон о закупках). По мнению управления, в пункте 15 информационной карты и пункте 1.4 конкурсной документации предприятием установлены взаимоисключающие требования относительно указания (запрета на указание) в первой части заявки сведений об участнике конкурса. В целях устранения нарушений выдано предписание. Считая ненормативные акты управления незаконными, предприятие обратилось в арбитражный суд. Удовлетворяя заявленные требования, суды, оценив представленные в материалы дела доказательства, руководствуясь положениями статей 1, 2, 3, 3.4, 4 Закона о закупках, принимая во внимание условия конкурсной документации и информационной карты конкурса, пришли к выводу об отсутствии у антимонопольного органа правовых оснований для вынесения решения и предписания ввиду отсутствия в действиях предприятия вменяемых нарушений. Судебные инстанции исходили из того, что противоречивые требования пункта 15 информационной карты об обезличивании первой части заявки и содержание формы 2 раздела 1.4 документации, в которой наименование участника конкурса подлежит указанию, не привели к нарушению принципов закупки, поскольку установленные заказчиком требования в равной мере применялись ко всем участникам закупки. Вместе с тем, пункт 15 информационной карты аукциона соответствует требованиям статьи 3.4 Закона о закупках и запрет указания в первой части заявки на участие в закупке сведений об участнике конкурса распространяется и на форму 2, представляемую в первой части заявки. При этом участник закупки, обнаружив данные несоответствия, имел возможность обратиться в конкурсную комиссию за разъяснениями положений конкурсной документации, в том числе в части заполнения формы 2. Доводы, изложенные в кассационной жалобе, повторяют позицию антимонопольного органа по спору, являлись предметом рассмотрения судов и получили правовую оценку с учетом установленных обстоятельств дела. Приведенные доводы не опровергают выводы судов, не подтверждают существенных нарушений норм материального права и норм процессуального права, повлиявших на исход дела, и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Санкт-Петербургу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ГУП Санкт-ПетербургСКОЕ ПАССАЖИРСКОГО АВТОМОБИЛЬНОГО ТРАНСПОРТА (подробнее) Ответчики: Управление Федеральной антимонопольной службы по Санкт-Петербургу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