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01.10.2019, постановление Девятого арбитражного апелляционного суда от 25.11.2019 и постановление Арбитражного суда Московского округа от 20.02.2020 по делу № А40-152883/2017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