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Коробов Евгений Александрович обратился в суд с заявлением о признании недействительными сделками списания 30.03.2017 с расчётного счёта должника в пользу общества денежных средств в общем размере 2 500 000 рублей. Определением Арбитражного суда Краснодарского края от 22.04.2019 отказано в удовлетворении требований. Постановлением Пятнадцатого арбитражного апелляционного суда от 20.07.2019, оставленным без изменения постановлением Арбитражного суда Северо-Кавказского округа от 24.01.2020, отменено определение суда первой инстанции от 22.04.2019, требования удовлетворены, применены последствия недействительности сделки в виде взыскания с общества в конкурсную массу должника 2 500 000 рублей и восстановления права требования общества к должнику на указанную сумму.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 и 61.6 Федерального закона от 26.10.2002 № 127-ФЗ «О несостоятельности (банкротстве)», признав, что общество не могло не знать о неплатёжеспособности должника на момент совершения данных сделок, пришел к выводу о совершении данных сделок в период подозрительности (в пределах шестимесячного срока до принятия заявления о признании должника банкротом) за пределами обычной хозяйственной деятельности, указав на следствие сделок – предпочтительное удовлетворение требований общества перед другими кредиторами должника, правомерно применив последствия недействительности сделок.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«Балтэлектромонтажспецстрой»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