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Жигалов В.В. обратился в суд с заявлениями, объединёнными в одно производство для совместного рассмотрения, в которых просил обязать конкурсного управляющего должником Лобанову Марию Евгеньевну выплатить страховое возмещение в заявленном размере в связи с наступлением названных им страховых случаев. Определением Арбитражного суда города Санкт-Петербурга и Ленинградской области от 17.06.2019, оставленным без изменения постановлениями Тринадцатого арбитражного апелляционного суда от 20.09.2019 и Арбитражного суда Северо-Западного округа от 28.01.2020,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929, 931 Гражданского кодекса Российской Федерации, статьями 20, 20.3, 20.4, 24.1, 61.2 Федерального закона от 26.10.2002 № 127-ФЗ «О несостоятельности (банкротстве)», исходили из недоказанности наступления названных заявителем страховых случаев, наступление которых законодатель связал с наличием вступивших в законную силу судебных актов о взыскании убытков со страхователя (арбитражного управляющего), в связи с чем не усмотрели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Жигалову Владимиру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