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Андреев А.В. обратился в суд с заявлением о включении в реестр требований кредиторов должника его требования в размере 6 500 000 рублей, одновременно заявив ходатайство о восстановлении срока для его предъявления. Определением Арбитражного суда Тверской области от 15.07.2019, оставленным без изменения постановлением Четырнадцатого арбитражного апелляционного суда от 11.10.2019, в удовлетворении ходатайства о восстановлении срока отказано; требование признано обоснованным и подлежащим удовлетворению за счёт имущества, оставшегося после удовлетворения требований реестровых кредиторов. Постановлением Арбитражного суда Северо-Западного округа от 26.12.2019 вышеуказанные судебные акты отменены в части; в данной части принят новый судебный акт об отказе в удовлетворении требований Андреева А.В. В остальной части принятые по делу судебные акты оставлены без изменения.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принятые по спору судебные акты, суд округа, руководствуясь статьёй 807 Гражданского кодекса Российской Федерации, статьями 71, 100, 213.24 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отсутствия оснований для удовлетворения заявленного требования ввиду непредставления заявителем доказательств, подтверждающих реальность возникших между сторонами отношений по выдаче займов, финансовой возможности для предоставления заявителем должнику денежных средств и их фактическое расходование.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Андрееву Андрею Вячеславовичу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