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31.05.2019, оставленным без изменения постановлениями Восемнадцатого арбитражного апелляционного суда от 22.08.2019 и Арбитражного суда Уральского округа от 30.01.2020,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общества внеплановой документарной проверки с целью рассмотрения обращения гражданина инспекцией составлен акт и вынесено предписание об устранении выявленных нарушений обязательных требований жилищного законодательства, в соответствии с которым на общество возложена обязанность в срок до 17.12.2018 произвести перерасчет платы за отопление и горячее водоснабжение (подогрев воды) за период с 20.11.2017 по 31.05.2018 в размере 1/2 доли начисляемых платежей на двух собственников (с даты вступления в законную силу решения Красноармейского районного суда от 20.10.2017 № 2-789/2017). Не соглашаясь с указанным ненормативным актом, общество обратилось в арбитражный суд с соответствующим заявлением.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Жилищного кодекса Российской Федерации, Гражданского кодекса Российской Федерации,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пришли к выводу о том, что оспариваемое предписание соответствует закону и не нарушает права и законные интересы заявителя. При этом судебные инстанции исходили из того, что вступившее в законную силу решение районного суда о порядке и размере участия в расходах по оплате жилого помещения и коммунальных услуг является основанием для выставления отдельного платежного документа, связи с чем, у общества имеется обязанность по проведению перерасчета платы на основании решения суда. Суды отметили, что отсутствие соглашений, заключенных с собственниками квартиры, в рассматриваемом случае не отменяет обязанность общества по проведению соответствующего перерасчета платы за отопление и горячее водоснабжение (подогрев воды) в размере 1/2 доли начисляемых платежей на двух собственников. Обстоятельства данного спора и представленные доказательства были предметом рассмотрения и оценки судов. Доводы кассационной жалобы основаны на ошибочном толковании норм права,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«Перспектива»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"Перспектива" (подробнее) Ответчики: Главное управление "Государственная жилищная инспекция Челябинской области"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