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31.07.2019, оставленным без изменения постановлением Третьего арбитражного апелляционного суда от 16.10.2019, в удовлетворении заявленного требования отказано. Постановлением Арбитражного суда Восточно-Сибирского округа от 19.02.2020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247 , 309 , 310 Налогового кодекса Российской Федерации, правовой позицией, изложенной в пункте 2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суды отказали в удовлетворении заявленных требований, признав, что общество является налоговым агентом, не удержавшим налог у иностранной организации при выплате дохода, на который распространяется налоговая юрисдикция Российской Федерации. Доводы кассационной жалобы не свидетельствуют о несоответствии выводов судов Соглашению от 21.04.1995 между Правительством Российской Федерации и Правительством Республики Беларусь об избежании двойного налогообложения и предотвращении уклонения от уплаты налогов на доходы и имущество.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"АгроСельхозтехника" (подробнее) Ответчики: Межрайонная инспекция Федеральной налоговой службы №8 по Красноярскому краю (подробнее) Иные лица: ОАО Промагролизинг (подробнее) Экономический суд г. Минска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