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13.08.2018, оставленным без изменения постановлением Девятнадцатого арбитражного апелляционного суда от 31.10.2018, требования удовлетворены. Постановлением Арбитражного суда Центрального округа от 26.02.2019 указанные судебные акты отменены, дело направлено на новое рассмотрение в суд первой инстанции. При новом рассмотрении дела решением Арбитражного суда Белгородской области от 25.06.2019, оставленным без изменения постановлением Девятнадцатого арбитражного апелляционного суда от 16.08.2019, суд изменил постановление по делу об административном правонарушении, снизив размер административного штрафа до 125 000 рублей. Постановлением Арбитражного суда Центрального округа от 25.12.2019 названные судебные акты оставлены без изменения. Общество обратилось в Верховный Суд Российской Федерации с кассационной жалобой на обжалуемые судебные акты, в которой просит их отменить,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 выявленный административным органом факт привлечения обществом к трудовой деятельности в качестве грузчика иностранного гражданина (гражданина Узбекистана ФИО1), без документов, дающих право работать на территории Российской Федерации. Частью 1 статьи 18.15 Кодекса Российской Федерации об административных правонарушениях установлена ответственность за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Оценив представленные доказательства, руководствуясь положениями Федерального закона от 25.07.2002 № 115-ФЗ «О правовом положении иностранных граждан в Российской Федерации», Трудового кодекса Российской Федерации,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18.15 Кодекса Российской Федерации об административных правонарушениях. Вина общества в совершении правонарушения установлена. Процедура и срок давности привлечения к ответственности соблюдены. Штраф снижен судом ниже низшего размера санкции нормы. Оснований для признания правонарушения малозначительным не установлено. Доводы жалобы противоречат правовой позиции, изложенной в Обзоре законодательства и судебной практики Верховного Суда РФ за четвертый квартал 2003 г. (вопрос 11), абзаце 8 пункта 14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Несогласие заявителя с оценкой имеющихся в деле доказательств и с толкованием судебными инстанциями норм Кодекса Российской Федерации об административных правонарушениях и законодательства, подлежащих применению в деле, не свидетельствует о том, что судами допущены существенные нарушения названного Кодекса и (или) предусмотренные им процессуальные требования, не позволившие всесторонне, полно и объективно рассмотреть дело.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"Альтаир" (подробнее) Ответчики: УМВД России по г.Белгороду (подробнее) Иные лица: УМВД России по г. Белгороду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