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03.06.2019, оставленным без изменения постановлением Девятого арбитражного апелляционного суда от 12.09.2019, в удовлетворении заявленного требования отказано. Постановлением Арбитражного суда Московского округа от 09.01.2020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исчислении налога на имущество по кадастровой стоимости налоговая база объекта недвижимого имущества определена обществом самостоятельно расчетным путем (исходя из такой стоимости за вычетом суммы, равной величине налога на добавленную стоимость).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содержащейся в государственном реестре, действующим законодательством не предусмотрено. При этом суды указали, что самостоятельная корректировка базы расчетным путем в рассматриваемом случае неправомерна,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Доказательств того, что общество в установленном порядке оспаривало кадастровую стоимость, не представлено.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"ПАРК АВЕНЮ" (подробнее) Ответчики: Инспекция Федеральной налоговой службы №19 по г. Москве (подробнее) Иные лица: УФНС России по гМоскве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